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8C" w:rsidRPr="00FE1D76" w:rsidRDefault="005F7D31" w:rsidP="00D8588C">
      <w:pPr>
        <w:rPr>
          <w:sz w:val="28"/>
          <w:szCs w:val="2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799512" wp14:editId="2058AA88">
                <wp:simplePos x="0" y="0"/>
                <wp:positionH relativeFrom="margin">
                  <wp:posOffset>-179705</wp:posOffset>
                </wp:positionH>
                <wp:positionV relativeFrom="topMargin">
                  <wp:posOffset>1009650</wp:posOffset>
                </wp:positionV>
                <wp:extent cx="2619375" cy="600075"/>
                <wp:effectExtent l="0" t="0" r="9525" b="0"/>
                <wp:wrapTopAndBottom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7D31" w:rsidRDefault="005F7D31"/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99512" id="_x0000_t202" coordsize="21600,21600" o:spt="202" path="m,l,21600r21600,l21600,xe">
                <v:stroke joinstyle="miter"/>
                <v:path gradientshapeok="t" o:connecttype="rect"/>
              </v:shapetype>
              <v:shape id="Tekstfelt 6" o:spid="_x0000_s1026" type="#_x0000_t202" style="position:absolute;margin-left:-14.15pt;margin-top:79.5pt;width:206.2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" filled="f" stroked="f" strokeweight=".5pt">
                <v:textbox inset="0,,0">
                  <w:txbxContent>
                    <w:p w:rsidR="005F7D31" w:rsidRDefault="005F7D31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8588C">
        <w:rPr>
          <w:b/>
          <w:bCs/>
          <w:sz w:val="28"/>
          <w:szCs w:val="28"/>
        </w:rPr>
        <w:t>A</w:t>
      </w:r>
      <w:r w:rsidR="00D8588C" w:rsidRPr="00FE1D76">
        <w:rPr>
          <w:b/>
          <w:bCs/>
          <w:sz w:val="28"/>
          <w:szCs w:val="28"/>
        </w:rPr>
        <w:t xml:space="preserve">fklaringsskema til cases i Fælles Servicecenter for Telesundhed </w:t>
      </w:r>
    </w:p>
    <w:p w:rsidR="00D8588C" w:rsidRPr="00FE1D76" w:rsidRDefault="00D8588C" w:rsidP="00D8588C">
      <w:pPr>
        <w:rPr>
          <w:b/>
          <w:bCs/>
          <w:sz w:val="24"/>
          <w:szCs w:val="24"/>
        </w:rPr>
      </w:pPr>
    </w:p>
    <w:p w:rsidR="00D8588C" w:rsidRPr="00FE1D76" w:rsidRDefault="00D8588C" w:rsidP="00D8588C">
      <w:pPr>
        <w:rPr>
          <w:b/>
          <w:bCs/>
          <w:sz w:val="24"/>
          <w:szCs w:val="24"/>
        </w:rPr>
      </w:pP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b/>
          <w:bCs/>
          <w:sz w:val="24"/>
          <w:szCs w:val="24"/>
        </w:rPr>
        <w:t xml:space="preserve">Ansøgers kontaktoplysninger </w:t>
      </w: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sz w:val="24"/>
          <w:szCs w:val="24"/>
        </w:rPr>
        <w:t xml:space="preserve">Navn: </w:t>
      </w: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sz w:val="24"/>
          <w:szCs w:val="24"/>
        </w:rPr>
        <w:t xml:space="preserve">Tilhørsforhold: </w:t>
      </w: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sz w:val="24"/>
          <w:szCs w:val="24"/>
        </w:rPr>
        <w:t xml:space="preserve">E-mail: </w:t>
      </w: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sz w:val="24"/>
          <w:szCs w:val="24"/>
        </w:rPr>
        <w:t xml:space="preserve">Telefonnr.: </w:t>
      </w: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sz w:val="24"/>
          <w:szCs w:val="24"/>
        </w:rPr>
        <w:t xml:space="preserve">Telesundhedsløsning: </w:t>
      </w: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sz w:val="24"/>
          <w:szCs w:val="24"/>
        </w:rPr>
        <w:t xml:space="preserve">Telesundhedsløsnings formål (kort): </w:t>
      </w: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sz w:val="24"/>
          <w:szCs w:val="24"/>
        </w:rPr>
        <w:t xml:space="preserve">Leverandør af telesundhedsløsningen: </w:t>
      </w:r>
    </w:p>
    <w:p w:rsidR="00D8588C" w:rsidRPr="00FE1D76" w:rsidRDefault="00D8588C" w:rsidP="00D8588C">
      <w:pPr>
        <w:rPr>
          <w:sz w:val="24"/>
          <w:szCs w:val="24"/>
        </w:rPr>
      </w:pP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b/>
          <w:bCs/>
          <w:sz w:val="24"/>
          <w:szCs w:val="24"/>
        </w:rPr>
        <w:t xml:space="preserve">Formål </w:t>
      </w: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sz w:val="24"/>
          <w:szCs w:val="24"/>
        </w:rPr>
        <w:t xml:space="preserve">Afklaringsskemaet er et dialogværktøj, som Fælles Servicecenter for Telesundhed, bruger i forbindelse med optag af nye telesundhedscases. Afklaringsskemaet er udarbejdet af Fælles Servicecenters </w:t>
      </w:r>
      <w:proofErr w:type="spellStart"/>
      <w:r w:rsidRPr="00FE1D76">
        <w:rPr>
          <w:sz w:val="24"/>
          <w:szCs w:val="24"/>
        </w:rPr>
        <w:t>Advisory</w:t>
      </w:r>
      <w:proofErr w:type="spellEnd"/>
      <w:r w:rsidRPr="00FE1D76">
        <w:rPr>
          <w:sz w:val="24"/>
          <w:szCs w:val="24"/>
        </w:rPr>
        <w:t xml:space="preserve"> Board og har primært til formål, at vurdere den teknologiske modenhed, de lovmæssige udfordringer og de supportbehov som knytter sig til telesundhedscasen. </w:t>
      </w:r>
    </w:p>
    <w:p w:rsidR="00D8588C" w:rsidRPr="00FE1D76" w:rsidRDefault="00D8588C" w:rsidP="00D8588C">
      <w:pPr>
        <w:rPr>
          <w:sz w:val="24"/>
          <w:szCs w:val="24"/>
        </w:rPr>
      </w:pP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b/>
          <w:bCs/>
          <w:sz w:val="24"/>
          <w:szCs w:val="24"/>
        </w:rPr>
        <w:t xml:space="preserve">Fællesservicecenter </w:t>
      </w: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sz w:val="24"/>
          <w:szCs w:val="24"/>
        </w:rPr>
        <w:t xml:space="preserve">Stiller krav om at de deltagende telesundhedsløsninger vil indarbejde nationale standarder på følgende punkter: </w:t>
      </w: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sz w:val="24"/>
          <w:szCs w:val="24"/>
        </w:rPr>
        <w:t xml:space="preserve">Person- og sundhedsdatalovgivning. </w:t>
      </w: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sz w:val="24"/>
          <w:szCs w:val="24"/>
        </w:rPr>
        <w:t>Patientsikkerhed (</w:t>
      </w:r>
      <w:proofErr w:type="spellStart"/>
      <w:r w:rsidRPr="00FE1D76">
        <w:rPr>
          <w:sz w:val="24"/>
          <w:szCs w:val="24"/>
        </w:rPr>
        <w:t>medicotekniske</w:t>
      </w:r>
      <w:proofErr w:type="spellEnd"/>
      <w:r w:rsidRPr="00FE1D76">
        <w:rPr>
          <w:sz w:val="24"/>
          <w:szCs w:val="24"/>
        </w:rPr>
        <w:t xml:space="preserve"> </w:t>
      </w:r>
      <w:proofErr w:type="spellStart"/>
      <w:r w:rsidRPr="00FE1D76">
        <w:rPr>
          <w:sz w:val="24"/>
          <w:szCs w:val="24"/>
        </w:rPr>
        <w:t>retningslinier</w:t>
      </w:r>
      <w:proofErr w:type="spellEnd"/>
      <w:r w:rsidRPr="00FE1D76">
        <w:rPr>
          <w:sz w:val="24"/>
          <w:szCs w:val="24"/>
        </w:rPr>
        <w:t xml:space="preserve">). </w:t>
      </w: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sz w:val="24"/>
          <w:szCs w:val="24"/>
        </w:rPr>
        <w:t xml:space="preserve">Derudover skal kunden vurdere omfanget af den support opgave Fællesservicecenter skal udføre. </w:t>
      </w:r>
    </w:p>
    <w:p w:rsidR="00D8588C" w:rsidRPr="00FE1D76" w:rsidRDefault="00D8588C" w:rsidP="00D8588C">
      <w:pPr>
        <w:rPr>
          <w:sz w:val="24"/>
          <w:szCs w:val="24"/>
        </w:rPr>
      </w:pP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b/>
          <w:bCs/>
          <w:sz w:val="24"/>
          <w:szCs w:val="24"/>
        </w:rPr>
        <w:t xml:space="preserve">Indledning </w:t>
      </w: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sz w:val="24"/>
          <w:szCs w:val="24"/>
        </w:rPr>
        <w:t xml:space="preserve">Fælles Servicecenter tilbyder rådgivning og sparring ift. udvikling og implementering af tele-sundhedsløsninger. Telesundhedsløsninger omfatter såvel, teknisk udstyr som software mm. </w:t>
      </w: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sz w:val="24"/>
          <w:szCs w:val="24"/>
        </w:rPr>
        <w:t xml:space="preserve">Definitionen på telemedicin og telesundhed kan læses her: http://begrebsbasen.sst.dk/Rapporter/20151209_Telemedicin_Rapport.pdf#page=7 2 </w:t>
      </w:r>
    </w:p>
    <w:p w:rsidR="00D8588C" w:rsidRPr="00FE1D76" w:rsidRDefault="00D8588C" w:rsidP="00D8588C">
      <w:pPr>
        <w:rPr>
          <w:b/>
          <w:bCs/>
          <w:sz w:val="24"/>
          <w:szCs w:val="24"/>
        </w:rPr>
      </w:pPr>
      <w:r w:rsidRPr="00FE1D76">
        <w:rPr>
          <w:b/>
          <w:bCs/>
          <w:sz w:val="24"/>
          <w:szCs w:val="24"/>
        </w:rPr>
        <w:br w:type="page"/>
      </w: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b/>
          <w:bCs/>
          <w:sz w:val="24"/>
          <w:szCs w:val="24"/>
        </w:rPr>
        <w:lastRenderedPageBreak/>
        <w:t xml:space="preserve">Selvscoring og besvarelse af ovenstående fokuspunkter (Udfyldes af kunden) </w:t>
      </w: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sz w:val="24"/>
          <w:szCs w:val="24"/>
        </w:rPr>
        <w:t xml:space="preserve">På hvilket stadie vurderes telesundhedsløsningen at være? </w:t>
      </w:r>
    </w:p>
    <w:p w:rsidR="00D8588C" w:rsidRPr="00FE1D76" w:rsidRDefault="00D8588C" w:rsidP="00D8588C">
      <w:pPr>
        <w:pStyle w:val="Listeafsnit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FE1D76">
        <w:rPr>
          <w:sz w:val="24"/>
          <w:szCs w:val="24"/>
        </w:rPr>
        <w:t xml:space="preserve">Konceptstadie. Er et idéstadie, hvor løsningen er under udvikling. </w:t>
      </w:r>
    </w:p>
    <w:p w:rsidR="00D8588C" w:rsidRPr="00FE1D76" w:rsidRDefault="00D8588C" w:rsidP="00D8588C">
      <w:pPr>
        <w:pStyle w:val="Listeafsnit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proofErr w:type="spellStart"/>
      <w:r w:rsidRPr="00FE1D76">
        <w:rPr>
          <w:sz w:val="24"/>
          <w:szCs w:val="24"/>
        </w:rPr>
        <w:t>Proof</w:t>
      </w:r>
      <w:proofErr w:type="spellEnd"/>
      <w:r w:rsidRPr="00FE1D76">
        <w:rPr>
          <w:sz w:val="24"/>
          <w:szCs w:val="24"/>
        </w:rPr>
        <w:t xml:space="preserve"> of </w:t>
      </w:r>
      <w:proofErr w:type="spellStart"/>
      <w:r w:rsidRPr="00FE1D76">
        <w:rPr>
          <w:sz w:val="24"/>
          <w:szCs w:val="24"/>
        </w:rPr>
        <w:t>concept</w:t>
      </w:r>
      <w:proofErr w:type="spellEnd"/>
      <w:r w:rsidRPr="00FE1D76">
        <w:rPr>
          <w:sz w:val="24"/>
          <w:szCs w:val="24"/>
        </w:rPr>
        <w:t xml:space="preserve">. Er et stadie, hvor en løsning pilottestes. </w:t>
      </w:r>
    </w:p>
    <w:p w:rsidR="00D8588C" w:rsidRPr="00FE1D76" w:rsidRDefault="00D8588C" w:rsidP="00D8588C">
      <w:pPr>
        <w:pStyle w:val="Listeafsnit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FE1D76">
        <w:rPr>
          <w:sz w:val="24"/>
          <w:szCs w:val="24"/>
        </w:rPr>
        <w:t xml:space="preserve">Gennemført projekt. Er en telesundhedsløsning, er finjustering før implementering. </w:t>
      </w:r>
    </w:p>
    <w:p w:rsidR="00D8588C" w:rsidRPr="00FE1D76" w:rsidRDefault="00D8588C" w:rsidP="00D8588C">
      <w:pPr>
        <w:pStyle w:val="Listeafsnit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FE1D76">
        <w:rPr>
          <w:sz w:val="24"/>
          <w:szCs w:val="24"/>
        </w:rPr>
        <w:t xml:space="preserve">Færdig løsning. Er en løsning der er testet og klar til implementering. </w:t>
      </w:r>
    </w:p>
    <w:p w:rsidR="00D8588C" w:rsidRPr="00FE1D76" w:rsidRDefault="00D8588C" w:rsidP="00D8588C">
      <w:pPr>
        <w:pStyle w:val="Listeafsnit"/>
        <w:spacing w:after="0"/>
        <w:ind w:left="770"/>
        <w:rPr>
          <w:sz w:val="24"/>
          <w:szCs w:val="24"/>
        </w:rPr>
      </w:pP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sz w:val="24"/>
          <w:szCs w:val="24"/>
        </w:rPr>
        <w:t>Svar angives i nedenstående skema på et kontinuum fra 1-5, hvor 1 er den laveste værdi og 5 er den højeste værdi.</w:t>
      </w:r>
    </w:p>
    <w:p w:rsidR="00D8588C" w:rsidRPr="00FE1D76" w:rsidRDefault="00D8588C" w:rsidP="00D8588C">
      <w:pPr>
        <w:rPr>
          <w:sz w:val="24"/>
          <w:szCs w:val="24"/>
        </w:rPr>
      </w:pPr>
    </w:p>
    <w:p w:rsidR="00D8588C" w:rsidRPr="00FE1D76" w:rsidRDefault="00D8588C" w:rsidP="00D8588C">
      <w:pPr>
        <w:rPr>
          <w:b/>
          <w:sz w:val="24"/>
          <w:szCs w:val="24"/>
        </w:rPr>
      </w:pPr>
      <w:r w:rsidRPr="00FE1D76">
        <w:rPr>
          <w:b/>
          <w:sz w:val="24"/>
          <w:szCs w:val="24"/>
        </w:rPr>
        <w:t>Spørgsmålene der ønskes besvaret bedst muligt af kunden er:</w:t>
      </w: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sz w:val="24"/>
          <w:szCs w:val="24"/>
        </w:rPr>
        <w:t xml:space="preserve">A) I hvilken grad vurderes patientsikkerheden at være overholdt i telesundhedsløsningen pt? </w:t>
      </w: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sz w:val="24"/>
          <w:szCs w:val="24"/>
        </w:rPr>
        <w:t xml:space="preserve">B) I hvilken grad er persondatasikkerheden tilgodeset i den nuværende telesundhedsløsning? </w:t>
      </w: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sz w:val="24"/>
          <w:szCs w:val="24"/>
        </w:rPr>
        <w:t xml:space="preserve">C) I hvilken grad overholder telesundhedsløsningen pt. CE standarder og referencearkitektur? </w:t>
      </w:r>
    </w:p>
    <w:p w:rsidR="00D8588C" w:rsidRPr="00FE1D76" w:rsidRDefault="00D8588C" w:rsidP="00D8588C">
      <w:pPr>
        <w:rPr>
          <w:sz w:val="24"/>
          <w:szCs w:val="24"/>
        </w:rPr>
      </w:pPr>
      <w:r w:rsidRPr="00FE1D76">
        <w:rPr>
          <w:sz w:val="24"/>
          <w:szCs w:val="24"/>
        </w:rPr>
        <w:t>D) Vurder hvor velbeskrevne supportbehovene er i forhold til telesundhedsløsningen?</w:t>
      </w:r>
    </w:p>
    <w:p w:rsidR="00D8588C" w:rsidRPr="00FE1D76" w:rsidRDefault="00D8588C" w:rsidP="00D8588C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90"/>
        <w:gridCol w:w="1243"/>
        <w:gridCol w:w="1242"/>
        <w:gridCol w:w="1242"/>
        <w:gridCol w:w="1242"/>
        <w:gridCol w:w="1242"/>
      </w:tblGrid>
      <w:tr w:rsidR="00D8588C" w:rsidTr="000B2FC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8C" w:rsidRDefault="00D8588C" w:rsidP="000B2FCB">
            <w:pPr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8C" w:rsidRDefault="00D8588C" w:rsidP="000B2FC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8C" w:rsidRDefault="00D8588C" w:rsidP="000B2FC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8C" w:rsidRDefault="00D8588C" w:rsidP="000B2FC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8C" w:rsidRDefault="00D8588C" w:rsidP="000B2FC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8C" w:rsidRDefault="00D8588C" w:rsidP="000B2FC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8588C" w:rsidTr="000B2FC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8C" w:rsidRDefault="00D8588C" w:rsidP="000B2FCB">
            <w:pPr>
              <w:rPr>
                <w:b/>
                <w:i/>
              </w:rPr>
            </w:pPr>
            <w:r>
              <w:rPr>
                <w:b/>
                <w:i/>
              </w:rPr>
              <w:t>Spørgsmål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</w:tr>
      <w:tr w:rsidR="00D8588C" w:rsidTr="000B2FC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8C" w:rsidRDefault="00D8588C" w:rsidP="000B2FCB">
            <w:pPr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</w:tr>
      <w:tr w:rsidR="00D8588C" w:rsidTr="000B2FC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8C" w:rsidRDefault="00D8588C" w:rsidP="000B2FCB">
            <w:pPr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</w:tr>
      <w:tr w:rsidR="00D8588C" w:rsidTr="000B2FC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8C" w:rsidRDefault="00D8588C" w:rsidP="000B2FCB">
            <w:pPr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</w:tr>
      <w:tr w:rsidR="00D8588C" w:rsidTr="000B2FC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8C" w:rsidRDefault="00D8588C" w:rsidP="000B2FCB">
            <w:pPr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8C" w:rsidRDefault="00D8588C" w:rsidP="000B2FCB"/>
        </w:tc>
      </w:tr>
    </w:tbl>
    <w:p w:rsidR="00D8588C" w:rsidRPr="003A34BE" w:rsidRDefault="00D8588C" w:rsidP="00D8588C"/>
    <w:p w:rsidR="00D8588C" w:rsidRDefault="00D8588C" w:rsidP="00D8588C">
      <w:pPr>
        <w:rPr>
          <w:b/>
          <w:bCs/>
        </w:rPr>
      </w:pPr>
      <w:r>
        <w:rPr>
          <w:b/>
          <w:bCs/>
        </w:rPr>
        <w:br w:type="page"/>
      </w:r>
    </w:p>
    <w:p w:rsidR="00D8588C" w:rsidRPr="00FE1D76" w:rsidRDefault="00D8588C" w:rsidP="00D8588C">
      <w:pPr>
        <w:rPr>
          <w:b/>
          <w:bCs/>
        </w:rPr>
      </w:pPr>
      <w:r w:rsidRPr="00FE1D76">
        <w:rPr>
          <w:b/>
          <w:bCs/>
          <w:sz w:val="24"/>
          <w:szCs w:val="24"/>
        </w:rPr>
        <w:lastRenderedPageBreak/>
        <w:t>Til leverandøre om krav</w:t>
      </w:r>
      <w:r w:rsidRPr="00FE1D76">
        <w:rPr>
          <w:b/>
          <w:bCs/>
        </w:rPr>
        <w:t xml:space="preserve"> </w:t>
      </w:r>
    </w:p>
    <w:p w:rsidR="00D8588C" w:rsidRPr="003A34BE" w:rsidRDefault="00D8588C" w:rsidP="00D8588C">
      <w:r w:rsidRPr="003A34BE">
        <w:rPr>
          <w:b/>
          <w:bCs/>
        </w:rPr>
        <w:t xml:space="preserve">Vejledning til udfyldelse af afklaringsskemaet </w:t>
      </w:r>
    </w:p>
    <w:p w:rsidR="00D8588C" w:rsidRDefault="00D8588C" w:rsidP="00D8588C">
      <w:r w:rsidRPr="003A34BE">
        <w:t xml:space="preserve">Det anbefales at afklaringsskemaet besvares sammen med leverandøren af telesundhedsløsningen for bedst mulig afdækning af projektet. </w:t>
      </w:r>
    </w:p>
    <w:p w:rsidR="00D8588C" w:rsidRPr="003A34BE" w:rsidRDefault="00D8588C" w:rsidP="00D8588C"/>
    <w:p w:rsidR="00D8588C" w:rsidRPr="003A34BE" w:rsidRDefault="00D8588C" w:rsidP="00D8588C">
      <w:r w:rsidRPr="003A34BE">
        <w:t xml:space="preserve">Vedlæg venligst en kort beskrivelse af idé og formål med telesundhedsløsningen, samt hvilke opgaver og forretningsprocesser det forventes, Fælles Servicecenter skal varetage. </w:t>
      </w:r>
    </w:p>
    <w:p w:rsidR="00D8588C" w:rsidRDefault="00D8588C" w:rsidP="00D8588C">
      <w:pPr>
        <w:rPr>
          <w:b/>
          <w:bCs/>
        </w:rPr>
      </w:pPr>
    </w:p>
    <w:p w:rsidR="00D8588C" w:rsidRPr="003A34BE" w:rsidRDefault="00D8588C" w:rsidP="00D8588C">
      <w:r w:rsidRPr="003A34BE">
        <w:rPr>
          <w:b/>
          <w:bCs/>
        </w:rPr>
        <w:t xml:space="preserve">Emner som indgår i modenhedsvurderingen </w:t>
      </w:r>
    </w:p>
    <w:p w:rsidR="00D8588C" w:rsidRPr="003A34BE" w:rsidRDefault="00D8588C" w:rsidP="00D8588C">
      <w:r w:rsidRPr="003A34BE">
        <w:t xml:space="preserve">Modenhedsvurderingen tager udgangspunkt i de tre områder som er nævnt i indledningen. </w:t>
      </w:r>
      <w:proofErr w:type="spellStart"/>
      <w:r w:rsidRPr="003A34BE">
        <w:t>Advisory</w:t>
      </w:r>
      <w:proofErr w:type="spellEnd"/>
      <w:r w:rsidRPr="003A34BE">
        <w:t xml:space="preserve"> </w:t>
      </w:r>
      <w:proofErr w:type="spellStart"/>
      <w:r w:rsidRPr="003A34BE">
        <w:t>Boardet</w:t>
      </w:r>
      <w:proofErr w:type="spellEnd"/>
      <w:r w:rsidRPr="003A34BE">
        <w:t xml:space="preserve"> har vurderet det er vigtigt at der er fokus på disse tre områder for at en tele-sundhedsløsning kan sættes i drift på en sikker og effektiv måde og potentielt kunne skaleres og udbredes til mange borgere, kommuner og/eller hospitaler. </w:t>
      </w:r>
    </w:p>
    <w:p w:rsidR="00D8588C" w:rsidRDefault="00D8588C" w:rsidP="00D8588C">
      <w:pPr>
        <w:rPr>
          <w:b/>
          <w:bCs/>
        </w:rPr>
      </w:pPr>
    </w:p>
    <w:p w:rsidR="00D8588C" w:rsidRPr="003A34BE" w:rsidRDefault="00D8588C" w:rsidP="00D8588C">
      <w:r w:rsidRPr="003A34BE">
        <w:rPr>
          <w:b/>
          <w:bCs/>
        </w:rPr>
        <w:t xml:space="preserve">Markedsgodkendelse, certificering og standarder </w:t>
      </w:r>
    </w:p>
    <w:p w:rsidR="00D8588C" w:rsidRDefault="00D8588C" w:rsidP="00D8588C">
      <w:r w:rsidRPr="003A34BE">
        <w:t xml:space="preserve">Offentlige myndigheder stiller krav om CE-mærkning af produkter. Desuden skal løsningerne kunne overholde egne tekniske specifikationer mht. måleusikkerhed og de skal være klinisk validerede (hvis de anvendes i hospitalssektoren). Eksempelvis er Medicinsk udstyr underlagt kravene for direktivet for medicinsk udstyr – MDD 93/42 EEC1. Det kan også være tilfældet når der eksempelvis kommunikeres trådløst via WLAN, Bluetooth, etc. Her er produktet underlagt lovgivningen for radiokommunikation – Direktivet for Radio &amp; Tele Terminal </w:t>
      </w:r>
      <w:proofErr w:type="spellStart"/>
      <w:r w:rsidRPr="003A34BE">
        <w:t>Equipment</w:t>
      </w:r>
      <w:proofErr w:type="spellEnd"/>
      <w:r w:rsidRPr="003A34BE">
        <w:t xml:space="preserve"> – 1999/5 EC2. </w:t>
      </w:r>
    </w:p>
    <w:p w:rsidR="00D8588C" w:rsidRPr="003A34BE" w:rsidRDefault="00D8588C" w:rsidP="00D8588C"/>
    <w:p w:rsidR="00D8588C" w:rsidRPr="003A34BE" w:rsidRDefault="00D8588C" w:rsidP="00D8588C">
      <w:r w:rsidRPr="003A34BE">
        <w:t xml:space="preserve">1 http://ec.europa.eu/growth/single-market/european-standards/harmonised-standards/medical-devices/index_en.htm </w:t>
      </w:r>
    </w:p>
    <w:p w:rsidR="00D8588C" w:rsidRPr="003A34BE" w:rsidRDefault="00D8588C" w:rsidP="00D8588C">
      <w:r w:rsidRPr="003A34BE">
        <w:t xml:space="preserve">2 http://ec.europa.eu/growth/sectors/electrical-engineering/rtte-directive/index_en.htm </w:t>
      </w:r>
    </w:p>
    <w:p w:rsidR="00D8588C" w:rsidRDefault="00D8588C" w:rsidP="00D8588C">
      <w:r w:rsidRPr="003A34BE">
        <w:t xml:space="preserve">3 </w:t>
      </w:r>
      <w:proofErr w:type="spellStart"/>
      <w:r w:rsidRPr="003A34BE">
        <w:t>interoperabilitet</w:t>
      </w:r>
      <w:proofErr w:type="spellEnd"/>
      <w:r w:rsidRPr="003A34BE">
        <w:t xml:space="preserve"> er produkters, systemers, eller forretningsprocessers evne til at samarbejde om fælles opgaveløsning </w:t>
      </w:r>
    </w:p>
    <w:p w:rsidR="00D8588C" w:rsidRDefault="00D8588C" w:rsidP="00D8588C">
      <w:r w:rsidRPr="003A34BE">
        <w:t>4</w:t>
      </w:r>
      <w:r w:rsidR="00B3036F">
        <w:t>h</w:t>
      </w:r>
      <w:r w:rsidRPr="003A34BE">
        <w:t xml:space="preserve">ttp://www.ssi.dk/Sundhedsdataogit/Standardisering/Standardisering/Referencearkitektur.aspx </w:t>
      </w:r>
    </w:p>
    <w:p w:rsidR="00B3036F" w:rsidRPr="003A34BE" w:rsidRDefault="00B3036F" w:rsidP="00D8588C"/>
    <w:p w:rsidR="00D8588C" w:rsidRDefault="00D8588C" w:rsidP="00D8588C">
      <w:r w:rsidRPr="003A34BE">
        <w:t xml:space="preserve">På samme måde er der fastlagt en række markedsstandarder og tilhørende certificeringer som f.eks. </w:t>
      </w:r>
      <w:proofErr w:type="spellStart"/>
      <w:r w:rsidRPr="003A34BE">
        <w:t>Continua</w:t>
      </w:r>
      <w:proofErr w:type="spellEnd"/>
      <w:r w:rsidRPr="003A34BE">
        <w:t xml:space="preserve"> Health Alliance, der omhandler certificering af telemedicinsk måleudstyr. Standarderne er med til at sikre interoperabilitet3 og kvalitet i dataudveksling af det udstyr, der indkøbes og af IT-infrastruktur og IT-systemer. </w:t>
      </w:r>
    </w:p>
    <w:p w:rsidR="00D8588C" w:rsidRPr="003A34BE" w:rsidRDefault="00D8588C" w:rsidP="00D8588C"/>
    <w:p w:rsidR="00D8588C" w:rsidRDefault="00D8588C" w:rsidP="00D8588C">
      <w:r w:rsidRPr="003A34BE">
        <w:t xml:space="preserve">En anden væsentlig parameter i vurderingen af telesundhedsløsninger er, om de lever op til kravene i den nationale referencearkitektur for telemedicin4, som er forudsætningen for at </w:t>
      </w:r>
      <w:r w:rsidRPr="003A34BE">
        <w:lastRenderedPageBreak/>
        <w:t xml:space="preserve">man kan dele telemedicinske sundhedsdata på tværs af sektorer, at de understøtter føderale sikkerhedsløsninger og f.eks. gør brug af </w:t>
      </w:r>
      <w:proofErr w:type="spellStart"/>
      <w:r w:rsidRPr="003A34BE">
        <w:t>NemID</w:t>
      </w:r>
      <w:proofErr w:type="spellEnd"/>
      <w:r w:rsidRPr="003A34BE">
        <w:t xml:space="preserve"> til borgerlogin. </w:t>
      </w:r>
    </w:p>
    <w:p w:rsidR="00D8588C" w:rsidRPr="003A34BE" w:rsidRDefault="00D8588C" w:rsidP="00D8588C"/>
    <w:p w:rsidR="00D8588C" w:rsidRDefault="00D8588C" w:rsidP="00D8588C">
      <w:r w:rsidRPr="003A34BE">
        <w:t xml:space="preserve">Kommuner og regioner kan have forskellige krav og behov i forhold til medicinsk godkendelse, bl.a. CE-mærkning, afhængigt af hvilke fagområder telesundhedsløsningen anvendes i. Dette bør undersøges evt. i samarbejde med Fælles Servicecenters udviklings- og </w:t>
      </w:r>
      <w:proofErr w:type="spellStart"/>
      <w:r w:rsidRPr="003A34BE">
        <w:t>videnscenter</w:t>
      </w:r>
      <w:proofErr w:type="spellEnd"/>
      <w:r w:rsidRPr="003A34BE">
        <w:t xml:space="preserve"> og ind tænkes i de enkelte løsninger. </w:t>
      </w:r>
    </w:p>
    <w:p w:rsidR="00B3036F" w:rsidRDefault="00B3036F" w:rsidP="00D8588C">
      <w:pPr>
        <w:rPr>
          <w:b/>
          <w:bCs/>
        </w:rPr>
      </w:pPr>
    </w:p>
    <w:p w:rsidR="00D8588C" w:rsidRPr="003A34BE" w:rsidRDefault="00D8588C" w:rsidP="00D8588C">
      <w:r w:rsidRPr="003A34BE">
        <w:rPr>
          <w:b/>
          <w:bCs/>
        </w:rPr>
        <w:t xml:space="preserve">Sundhedslov og persondatalov: </w:t>
      </w:r>
    </w:p>
    <w:p w:rsidR="00D8588C" w:rsidRPr="003A34BE" w:rsidRDefault="00D8588C" w:rsidP="00D8588C">
      <w:r w:rsidRPr="003A34BE">
        <w:t xml:space="preserve">Telesundhedsløsningen skal udvikles i overensstemmelse med bestemmelserne i sundhedsloven og persondataloven. EU vedtager om kort tid en ny persondataforordning der ensretter kravene i EU og det kommer i løbet at de kommende år til at ske store ændringer i den måde både offentlige myndigheder og private virksomheder skal agere i forhold til datasikkerhed. 5 </w:t>
      </w:r>
    </w:p>
    <w:p w:rsidR="00D8588C" w:rsidRPr="003A34BE" w:rsidRDefault="00D8588C" w:rsidP="00D8588C"/>
    <w:p w:rsidR="00D8588C" w:rsidRDefault="00D8588C" w:rsidP="00D8588C">
      <w:r w:rsidRPr="003A34BE">
        <w:t xml:space="preserve">Hvis patientdata skal tilgås ude fra borgeren sætter det særlige krav til datasikkerheden og dette må være tænkt ind i en telesundhedsløsning inden den tages i brug. </w:t>
      </w:r>
    </w:p>
    <w:p w:rsidR="00D8588C" w:rsidRPr="003A34BE" w:rsidRDefault="00D8588C" w:rsidP="00D8588C"/>
    <w:p w:rsidR="00D8588C" w:rsidRPr="003A34BE" w:rsidRDefault="00D8588C" w:rsidP="00D8588C">
      <w:r w:rsidRPr="003A34BE">
        <w:rPr>
          <w:b/>
          <w:bCs/>
        </w:rPr>
        <w:t xml:space="preserve">Support: Omfang og volumen </w:t>
      </w:r>
    </w:p>
    <w:p w:rsidR="00D8588C" w:rsidRDefault="00D8588C" w:rsidP="00D8588C">
      <w:r w:rsidRPr="003A34BE">
        <w:t>Fælles Servicecenter tilbyder som udgangspunkt alle former for ikke klinisk support. For at kunne dimensionere f.eks. brugersupport, teknisk vedligehold af telesundhedsløsninger og logistik samt lagerføring af telesundhedsudstyr, er det vigtig</w:t>
      </w:r>
      <w:r>
        <w:t>t at kende omfanget af medarbej</w:t>
      </w:r>
      <w:r w:rsidRPr="003A34BE">
        <w:t xml:space="preserve">dere, borgere, fysiske enheder, geografisk udbredelse m.m. i forhold til telesundhedsløsningen. </w:t>
      </w:r>
    </w:p>
    <w:p w:rsidR="00D8588C" w:rsidRPr="003A34BE" w:rsidRDefault="00D8588C" w:rsidP="00D8588C"/>
    <w:p w:rsidR="00D8588C" w:rsidRPr="003A34BE" w:rsidRDefault="00D8588C" w:rsidP="00D8588C">
      <w:r w:rsidRPr="003A34BE">
        <w:rPr>
          <w:b/>
          <w:bCs/>
        </w:rPr>
        <w:t xml:space="preserve">Afklaringsprocessen </w:t>
      </w:r>
    </w:p>
    <w:p w:rsidR="00D8588C" w:rsidRDefault="00D8588C" w:rsidP="00D8588C">
      <w:r w:rsidRPr="003A34BE">
        <w:t>Når et afklaringsskema er modtaget, arrangeres hurtigst mul</w:t>
      </w:r>
      <w:r>
        <w:t>igt et dialogmøde mellem ansøge</w:t>
      </w:r>
      <w:r w:rsidRPr="003A34BE">
        <w:t>ren og repræsentanter fra Fælles Servicecenter (jf. Drejebog for op</w:t>
      </w:r>
      <w:r>
        <w:t>tag af nye cases). På dia</w:t>
      </w:r>
      <w:r w:rsidRPr="003A34BE">
        <w:t xml:space="preserve">logmødet afklares bl.a., om der er særlige forhold, som der skal tages hensyn til i forhold til overholdelse af </w:t>
      </w:r>
      <w:proofErr w:type="spellStart"/>
      <w:r w:rsidRPr="003A34BE">
        <w:t>medicotekniske</w:t>
      </w:r>
      <w:proofErr w:type="spellEnd"/>
      <w:r w:rsidRPr="003A34BE">
        <w:t xml:space="preserve"> standarder, IT-arkitektur og lovgivning inden for sundheds-data og persondata, ved brug af den valgte telesundhedsløsning.</w:t>
      </w:r>
    </w:p>
    <w:p w:rsidR="005F7D31" w:rsidRDefault="005F7D31">
      <w:bookmarkStart w:id="0" w:name="_GoBack"/>
      <w:bookmarkEnd w:id="0"/>
    </w:p>
    <w:sectPr w:rsidR="005F7D31" w:rsidSect="00B660C1">
      <w:headerReference w:type="default" r:id="rId7"/>
      <w:headerReference w:type="first" r:id="rId8"/>
      <w:footerReference w:type="first" r:id="rId9"/>
      <w:pgSz w:w="11907" w:h="16840" w:code="9"/>
      <w:pgMar w:top="3969" w:right="2098" w:bottom="1701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A4D" w:rsidRDefault="00583A4D" w:rsidP="00982BCA">
      <w:pPr>
        <w:spacing w:line="240" w:lineRule="auto"/>
      </w:pPr>
      <w:r>
        <w:separator/>
      </w:r>
    </w:p>
  </w:endnote>
  <w:endnote w:type="continuationSeparator" w:id="0">
    <w:p w:rsidR="00583A4D" w:rsidRDefault="00583A4D" w:rsidP="00982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 Std Lt">
    <w:altName w:val="Avenir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8D4" w:rsidRDefault="002348D4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2273300</wp:posOffset>
              </wp:positionH>
              <wp:positionV relativeFrom="paragraph">
                <wp:posOffset>-33655</wp:posOffset>
              </wp:positionV>
              <wp:extent cx="3409950" cy="387350"/>
              <wp:effectExtent l="0" t="0" r="0" b="0"/>
              <wp:wrapNone/>
              <wp:docPr id="5" name="Tekstfel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950" cy="387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348D4" w:rsidRPr="00785E32" w:rsidRDefault="003B14D1" w:rsidP="00991571">
                          <w:pPr>
                            <w:pStyle w:val="BasicParagraph"/>
                            <w:spacing w:line="240" w:lineRule="auto"/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</w:pPr>
                          <w:r w:rsidRPr="00785E32">
                            <w:rPr>
                              <w:rFonts w:ascii="HelveticaNeueLT Std" w:hAnsi="HelveticaNeueLT Std" w:cs="Arial"/>
                              <w:b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t>Fælles Servicecenter</w:t>
                          </w:r>
                          <w:r w:rsidRPr="00785E32">
                            <w:rPr>
                              <w:rFonts w:ascii="HelveticaNeueLT Std Lt" w:hAnsi="HelveticaNeueLT Std Lt" w:cs="Arial"/>
                              <w:b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t xml:space="preserve"> </w:t>
                          </w:r>
                          <w:r w:rsidRPr="00785E32"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sym w:font="Symbol" w:char="F0D7"/>
                          </w:r>
                          <w:r w:rsidRPr="00785E32"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t xml:space="preserve"> T: 20 55 32 78 </w:t>
                          </w:r>
                          <w:r w:rsidRPr="00785E32"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sym w:font="Symbol" w:char="F0D7"/>
                          </w:r>
                          <w:r w:rsidRPr="00785E32"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t xml:space="preserve"> EAN 5798002756487</w:t>
                          </w:r>
                        </w:p>
                        <w:p w:rsidR="003B14D1" w:rsidRPr="00785E32" w:rsidRDefault="003B14D1" w:rsidP="00991571">
                          <w:pPr>
                            <w:pStyle w:val="BasicParagraph"/>
                            <w:spacing w:line="240" w:lineRule="auto"/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</w:pPr>
                          <w:r w:rsidRPr="00785E32"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t xml:space="preserve">M: kontakt@faellesservicecenter.dk </w:t>
                          </w:r>
                          <w:r w:rsidRPr="00785E32"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sym w:font="Symbol" w:char="F0D7"/>
                          </w:r>
                          <w:r w:rsidRPr="00785E32">
                            <w:rPr>
                              <w:rFonts w:ascii="HelveticaNeueLT Std Lt" w:hAnsi="HelveticaNeueLT Std Lt" w:cs="Arial"/>
                              <w:color w:val="1B8080"/>
                              <w:spacing w:val="2"/>
                              <w:sz w:val="15"/>
                              <w:szCs w:val="15"/>
                              <w:lang w:val="da-DK"/>
                            </w:rPr>
                            <w:t xml:space="preserve"> www.faellesservicecenter.dk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7" type="#_x0000_t202" style="position:absolute;margin-left:179pt;margin-top:-2.65pt;width:268.5pt;height:30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" filled="f" stroked="f" strokeweight=".5pt">
              <v:textbox>
                <w:txbxContent>
                  <w:p w:rsidR="002348D4" w:rsidRPr="00785E32" w:rsidRDefault="003B14D1" w:rsidP="00991571">
                    <w:pPr>
                      <w:pStyle w:val="BasicParagraph"/>
                      <w:spacing w:line="240" w:lineRule="auto"/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</w:pPr>
                    <w:r w:rsidRPr="00785E32">
                      <w:rPr>
                        <w:rFonts w:ascii="HelveticaNeueLT Std" w:hAnsi="HelveticaNeueLT Std" w:cs="Arial"/>
                        <w:b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t>Fælles Servicecenter</w:t>
                    </w:r>
                    <w:r w:rsidRPr="00785E32">
                      <w:rPr>
                        <w:rFonts w:ascii="HelveticaNeueLT Std Lt" w:hAnsi="HelveticaNeueLT Std Lt" w:cs="Arial"/>
                        <w:b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t xml:space="preserve"> </w:t>
                    </w:r>
                    <w:r w:rsidRPr="00785E32"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sym w:font="Symbol" w:char="F0D7"/>
                    </w:r>
                    <w:r w:rsidRPr="00785E32"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t xml:space="preserve"> T: 20 55 32 78 </w:t>
                    </w:r>
                    <w:r w:rsidRPr="00785E32"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sym w:font="Symbol" w:char="F0D7"/>
                    </w:r>
                    <w:r w:rsidRPr="00785E32"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t xml:space="preserve"> EAN 5798002756487</w:t>
                    </w:r>
                  </w:p>
                  <w:p w:rsidR="003B14D1" w:rsidRPr="00785E32" w:rsidRDefault="003B14D1" w:rsidP="00991571">
                    <w:pPr>
                      <w:pStyle w:val="BasicParagraph"/>
                      <w:spacing w:line="240" w:lineRule="auto"/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</w:pPr>
                    <w:r w:rsidRPr="00785E32"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t xml:space="preserve">M: kontakt@faellesservicecenter.dk </w:t>
                    </w:r>
                    <w:r w:rsidRPr="00785E32"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sym w:font="Symbol" w:char="F0D7"/>
                    </w:r>
                    <w:r w:rsidRPr="00785E32">
                      <w:rPr>
                        <w:rFonts w:ascii="HelveticaNeueLT Std Lt" w:hAnsi="HelveticaNeueLT Std Lt" w:cs="Arial"/>
                        <w:color w:val="1B8080"/>
                        <w:spacing w:val="2"/>
                        <w:sz w:val="15"/>
                        <w:szCs w:val="15"/>
                        <w:lang w:val="da-DK"/>
                      </w:rPr>
                      <w:t xml:space="preserve"> www.faellesservicecenter.dk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9973310</wp:posOffset>
          </wp:positionV>
          <wp:extent cx="6840000" cy="446400"/>
          <wp:effectExtent l="0" t="0" r="0" b="0"/>
          <wp:wrapNone/>
          <wp:docPr id="3" name="1E03493D-9518-43F1-A66C-39F7E47885D6" descr="cid:B37F88AD-706A-4654-9639-7166F458A6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E03493D-9518-43F1-A66C-39F7E47885D6" descr="cid:B37F88AD-706A-4654-9639-7166F458A6BB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A4D" w:rsidRDefault="00583A4D" w:rsidP="00982BCA">
      <w:pPr>
        <w:spacing w:line="240" w:lineRule="auto"/>
      </w:pPr>
      <w:r>
        <w:separator/>
      </w:r>
    </w:p>
  </w:footnote>
  <w:footnote w:type="continuationSeparator" w:id="0">
    <w:p w:rsidR="00583A4D" w:rsidRDefault="00583A4D" w:rsidP="00982B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BCA" w:rsidRDefault="005C79DB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288" behindDoc="1" locked="1" layoutInCell="1" allowOverlap="1" wp14:anchorId="08533391" wp14:editId="7AEDF034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160000" cy="152640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C_logo_DK_4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BCA" w:rsidRDefault="00982BC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160000" cy="152640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C_logo_DK_4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03A98"/>
    <w:multiLevelType w:val="hybridMultilevel"/>
    <w:tmpl w:val="8A60FF10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8C"/>
    <w:rsid w:val="000065D1"/>
    <w:rsid w:val="000265D2"/>
    <w:rsid w:val="0007310F"/>
    <w:rsid w:val="00147C7A"/>
    <w:rsid w:val="001F2778"/>
    <w:rsid w:val="002348D4"/>
    <w:rsid w:val="002E69B9"/>
    <w:rsid w:val="002F127F"/>
    <w:rsid w:val="003B14D1"/>
    <w:rsid w:val="003C6176"/>
    <w:rsid w:val="004859CF"/>
    <w:rsid w:val="005140F1"/>
    <w:rsid w:val="00583A4D"/>
    <w:rsid w:val="005C79DB"/>
    <w:rsid w:val="005F1E86"/>
    <w:rsid w:val="005F7D31"/>
    <w:rsid w:val="00710FBA"/>
    <w:rsid w:val="00720ADF"/>
    <w:rsid w:val="00785E32"/>
    <w:rsid w:val="00836D0D"/>
    <w:rsid w:val="008936BA"/>
    <w:rsid w:val="00961ADF"/>
    <w:rsid w:val="00982656"/>
    <w:rsid w:val="00982BCA"/>
    <w:rsid w:val="00991571"/>
    <w:rsid w:val="00AA59CF"/>
    <w:rsid w:val="00AF5302"/>
    <w:rsid w:val="00B034C7"/>
    <w:rsid w:val="00B3036F"/>
    <w:rsid w:val="00B660C1"/>
    <w:rsid w:val="00B76335"/>
    <w:rsid w:val="00BC4A98"/>
    <w:rsid w:val="00D8588C"/>
    <w:rsid w:val="00E017ED"/>
    <w:rsid w:val="00E20008"/>
    <w:rsid w:val="00E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D20A8D-5F52-4F02-AB92-4ECA95B7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31"/>
    <w:pPr>
      <w:spacing w:after="0" w:line="280" w:lineRule="exact"/>
    </w:pPr>
    <w:rPr>
      <w:rFonts w:ascii="Arial" w:hAnsi="Arial"/>
      <w:sz w:val="19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82BCA"/>
    <w:pPr>
      <w:tabs>
        <w:tab w:val="center" w:pos="4986"/>
        <w:tab w:val="right" w:pos="9972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2BCA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82BCA"/>
    <w:pPr>
      <w:tabs>
        <w:tab w:val="center" w:pos="4986"/>
        <w:tab w:val="right" w:pos="9972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2BCA"/>
    <w:rPr>
      <w:lang w:val="da-DK"/>
    </w:rPr>
  </w:style>
  <w:style w:type="paragraph" w:customStyle="1" w:styleId="BasicParagraph">
    <w:name w:val="[Basic Paragraph]"/>
    <w:basedOn w:val="Normal"/>
    <w:uiPriority w:val="99"/>
    <w:rsid w:val="002348D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00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0008"/>
    <w:rPr>
      <w:rFonts w:ascii="Segoe UI" w:hAnsi="Segoe UI" w:cs="Segoe UI"/>
      <w:sz w:val="18"/>
      <w:szCs w:val="18"/>
      <w:lang w:val="da-DK"/>
    </w:rPr>
  </w:style>
  <w:style w:type="character" w:styleId="Hyperlink">
    <w:name w:val="Hyperlink"/>
    <w:basedOn w:val="Standardskrifttypeiafsnit"/>
    <w:uiPriority w:val="99"/>
    <w:unhideWhenUsed/>
    <w:rsid w:val="003B14D1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D8588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styleId="Tabel-Gitter">
    <w:name w:val="Table Grid"/>
    <w:basedOn w:val="Tabel-Normal"/>
    <w:uiPriority w:val="39"/>
    <w:rsid w:val="00D8588C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B37F88AD-706A-4654-9639-7166F458A6BB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s\Documents\FSC%20skabeloner\Brevskabelon_F&#230;lles_Servicecenter%20kopi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Brevskabelon_Fælles_Servicecenter kopi</Template>
  <TotalTime>4</TotalTime>
  <Pages>4</Pages>
  <Words>913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Korsdal Sørensen</dc:creator>
  <cp:keywords/>
  <dc:description/>
  <cp:lastModifiedBy>Johanne Korsdal Sørensen</cp:lastModifiedBy>
  <cp:revision>2</cp:revision>
  <cp:lastPrinted>2016-02-04T12:18:00Z</cp:lastPrinted>
  <dcterms:created xsi:type="dcterms:W3CDTF">2016-03-08T13:52:00Z</dcterms:created>
  <dcterms:modified xsi:type="dcterms:W3CDTF">2016-03-10T12:57:00Z</dcterms:modified>
</cp:coreProperties>
</file>